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center"/>
        <w:rPr>
          <w:rFonts w:ascii="Arial" w:cs="Arial" w:eastAsia="Arial" w:hAnsi="Arial"/>
          <w:b w:val="1"/>
          <w:smallCaps w:val="1"/>
          <w:color w:val="000000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rtl w:val="0"/>
        </w:rPr>
        <w:t xml:space="preserve">SCHEDULE 16 - TENDER </w:t>
      </w:r>
      <w:r w:rsidDel="00000000" w:rsidR="00000000" w:rsidRPr="00000000">
        <w:rPr>
          <w:rFonts w:ascii="Arial" w:cs="Arial" w:eastAsia="Arial" w:hAnsi="Arial"/>
          <w:b w:val="1"/>
          <w:smallCaps w:val="1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1"/>
          <w:smallCaps w:val="1"/>
          <w:sz w:val="28"/>
          <w:szCs w:val="28"/>
          <w:rtl w:val="0"/>
        </w:rPr>
        <w:t xml:space="preserve">esponse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FRAMEWORK AGREEMENT FOR THE SUPPLY OF ENERGY AND ANCILLARY SERVICES</w:t>
    </w:r>
  </w:p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="240" w:lineRule="auto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                                                                                       Lot 1 Electricity – Schedule 16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